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42D83" w14:textId="780438D8" w:rsidR="008A1132" w:rsidRDefault="00A50376" w:rsidP="003E5996">
      <w:pPr>
        <w:jc w:val="center"/>
        <w:rPr>
          <w:rFonts w:asciiTheme="majorHAnsi" w:hAnsiTheme="majorHAnsi"/>
          <w:b/>
          <w:sz w:val="32"/>
          <w:szCs w:val="32"/>
        </w:rPr>
      </w:pPr>
      <w:r>
        <w:rPr>
          <w:rFonts w:asciiTheme="majorHAnsi" w:hAnsiTheme="majorHAnsi"/>
          <w:b/>
          <w:sz w:val="32"/>
          <w:szCs w:val="32"/>
        </w:rPr>
        <w:t xml:space="preserve">College Governance Committee- </w:t>
      </w:r>
      <w:r w:rsidR="003B7246" w:rsidRPr="003B7246">
        <w:rPr>
          <w:rFonts w:asciiTheme="majorHAnsi" w:hAnsiTheme="majorHAnsi"/>
          <w:b/>
          <w:i/>
          <w:sz w:val="32"/>
          <w:szCs w:val="32"/>
        </w:rPr>
        <w:t>Special Meeting</w:t>
      </w:r>
      <w:r w:rsidR="004D1B97">
        <w:rPr>
          <w:rFonts w:asciiTheme="majorHAnsi" w:hAnsiTheme="majorHAnsi"/>
          <w:b/>
          <w:sz w:val="32"/>
          <w:szCs w:val="32"/>
        </w:rPr>
        <w:t xml:space="preserve"> </w:t>
      </w:r>
      <w:r w:rsidRPr="00A50376">
        <w:rPr>
          <w:rFonts w:asciiTheme="majorHAnsi" w:hAnsiTheme="majorHAnsi"/>
          <w:b/>
          <w:i/>
          <w:sz w:val="32"/>
          <w:szCs w:val="32"/>
        </w:rPr>
        <w:t>Minutes</w:t>
      </w:r>
    </w:p>
    <w:p w14:paraId="4A72B940" w14:textId="2E39B680" w:rsidR="00FA6DF1" w:rsidRPr="00FA6DF1" w:rsidRDefault="008A1132" w:rsidP="00FA6DF1">
      <w:pPr>
        <w:jc w:val="center"/>
        <w:rPr>
          <w:rFonts w:asciiTheme="majorHAnsi" w:hAnsiTheme="majorHAnsi"/>
          <w:b/>
          <w:sz w:val="28"/>
          <w:szCs w:val="28"/>
        </w:rPr>
      </w:pPr>
      <w:r w:rsidRPr="00FA6DF1">
        <w:rPr>
          <w:rFonts w:asciiTheme="majorHAnsi" w:hAnsiTheme="majorHAnsi"/>
          <w:b/>
          <w:sz w:val="28"/>
          <w:szCs w:val="28"/>
        </w:rPr>
        <w:t xml:space="preserve">San Diego </w:t>
      </w:r>
      <w:r w:rsidR="003E5996" w:rsidRPr="00FA6DF1">
        <w:rPr>
          <w:rFonts w:asciiTheme="majorHAnsi" w:hAnsiTheme="majorHAnsi"/>
          <w:b/>
          <w:sz w:val="28"/>
          <w:szCs w:val="28"/>
        </w:rPr>
        <w:t>Miramar College</w:t>
      </w:r>
    </w:p>
    <w:p w14:paraId="3AD8FA4F" w14:textId="5D54A8FA" w:rsidR="003E5996" w:rsidRPr="00FA6DF1" w:rsidRDefault="003B7246" w:rsidP="003E5996">
      <w:pPr>
        <w:jc w:val="center"/>
        <w:rPr>
          <w:rFonts w:asciiTheme="majorHAnsi" w:hAnsiTheme="majorHAnsi"/>
          <w:b/>
        </w:rPr>
      </w:pPr>
      <w:r>
        <w:rPr>
          <w:rFonts w:asciiTheme="majorHAnsi" w:hAnsiTheme="majorHAnsi"/>
          <w:b/>
        </w:rPr>
        <w:t>January 25</w:t>
      </w:r>
      <w:r w:rsidR="003E5F3F">
        <w:rPr>
          <w:rFonts w:asciiTheme="majorHAnsi" w:hAnsiTheme="majorHAnsi"/>
          <w:b/>
        </w:rPr>
        <w:t>,</w:t>
      </w:r>
      <w:r>
        <w:rPr>
          <w:rFonts w:asciiTheme="majorHAnsi" w:hAnsiTheme="majorHAnsi"/>
          <w:b/>
        </w:rPr>
        <w:t xml:space="preserve"> 2019</w:t>
      </w:r>
      <w:r w:rsidR="001442B8">
        <w:rPr>
          <w:rFonts w:asciiTheme="majorHAnsi" w:hAnsiTheme="majorHAnsi"/>
          <w:b/>
        </w:rPr>
        <w:t xml:space="preserve"> ●</w:t>
      </w:r>
      <w:r w:rsidR="003E5996" w:rsidRPr="00FA6DF1">
        <w:rPr>
          <w:rFonts w:asciiTheme="majorHAnsi" w:hAnsiTheme="majorHAnsi"/>
          <w:b/>
        </w:rPr>
        <w:t xml:space="preserve"> Room </w:t>
      </w:r>
      <w:r w:rsidR="00564B2F">
        <w:rPr>
          <w:rFonts w:asciiTheme="majorHAnsi" w:hAnsiTheme="majorHAnsi"/>
          <w:b/>
        </w:rPr>
        <w:t>M-101</w:t>
      </w:r>
      <w:r w:rsidR="001442B8" w:rsidRPr="000C16A0">
        <w:rPr>
          <w:rFonts w:asciiTheme="majorHAnsi" w:hAnsiTheme="majorHAnsi"/>
          <w:b/>
        </w:rPr>
        <w:t xml:space="preserve"> </w:t>
      </w:r>
      <w:r w:rsidR="001442B8">
        <w:rPr>
          <w:rFonts w:asciiTheme="majorHAnsi" w:hAnsiTheme="majorHAnsi"/>
          <w:b/>
        </w:rPr>
        <w:t>●</w:t>
      </w:r>
      <w:r w:rsidR="003E5F3F">
        <w:rPr>
          <w:rFonts w:asciiTheme="majorHAnsi" w:hAnsiTheme="majorHAnsi"/>
          <w:b/>
        </w:rPr>
        <w:t xml:space="preserve"> </w:t>
      </w:r>
      <w:r>
        <w:rPr>
          <w:rFonts w:asciiTheme="majorHAnsi" w:hAnsiTheme="majorHAnsi"/>
          <w:b/>
        </w:rPr>
        <w:t>12:00- 12:30 pm</w:t>
      </w:r>
    </w:p>
    <w:p w14:paraId="08241CF4" w14:textId="0F764237" w:rsidR="003E5996" w:rsidRDefault="00FA6DF1" w:rsidP="00FF405D">
      <w:pPr>
        <w:jc w:val="center"/>
        <w:rPr>
          <w:rFonts w:asciiTheme="majorHAnsi" w:hAnsiTheme="majorHAnsi"/>
          <w:b/>
          <w:sz w:val="32"/>
        </w:rPr>
      </w:pPr>
      <w:r>
        <w:rPr>
          <w:rFonts w:asciiTheme="majorHAnsi" w:hAnsiTheme="majorHAnsi"/>
          <w:b/>
          <w:noProof/>
          <w:sz w:val="32"/>
        </w:rPr>
        <mc:AlternateContent>
          <mc:Choice Requires="wps">
            <w:drawing>
              <wp:anchor distT="0" distB="0" distL="114300" distR="114300" simplePos="0" relativeHeight="251659264" behindDoc="0" locked="0" layoutInCell="1" allowOverlap="1" wp14:anchorId="46D6F186" wp14:editId="38E79D4F">
                <wp:simplePos x="0" y="0"/>
                <wp:positionH relativeFrom="column">
                  <wp:posOffset>304799</wp:posOffset>
                </wp:positionH>
                <wp:positionV relativeFrom="paragraph">
                  <wp:posOffset>96520</wp:posOffset>
                </wp:positionV>
                <wp:extent cx="64865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flipV="1">
                          <a:off x="0" y="0"/>
                          <a:ext cx="64865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7.6pt" to="534.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" strokecolor="#4f81bd [3204]" strokeweight="2pt">
                <v:shadow on="t" color="black" opacity="24903f" origin=",.5" offset="0,.55556mm"/>
              </v:line>
            </w:pict>
          </mc:Fallback>
        </mc:AlternateContent>
      </w:r>
    </w:p>
    <w:p w14:paraId="532BB8D5" w14:textId="05D39BDC" w:rsidR="005F2E95" w:rsidRPr="005F2E95" w:rsidRDefault="00A41DD2" w:rsidP="003E5F3F">
      <w:pPr>
        <w:ind w:left="360"/>
        <w:rPr>
          <w:rFonts w:asciiTheme="majorHAnsi" w:hAnsiTheme="majorHAnsi"/>
        </w:rPr>
      </w:pPr>
      <w:r w:rsidRPr="008A1132">
        <w:rPr>
          <w:rFonts w:asciiTheme="majorHAnsi" w:hAnsiTheme="majorHAnsi"/>
          <w:b/>
        </w:rPr>
        <w:t>Members:</w:t>
      </w:r>
      <w:r>
        <w:rPr>
          <w:rFonts w:asciiTheme="majorHAnsi" w:hAnsiTheme="majorHAnsi"/>
        </w:rPr>
        <w:t xml:space="preserve">  </w:t>
      </w:r>
      <w:r w:rsidR="003E5F3F">
        <w:rPr>
          <w:rFonts w:asciiTheme="majorHAnsi" w:hAnsiTheme="majorHAnsi"/>
        </w:rPr>
        <w:t xml:space="preserve">Sara </w:t>
      </w:r>
      <w:r w:rsidR="008A1132">
        <w:rPr>
          <w:rFonts w:asciiTheme="majorHAnsi" w:hAnsiTheme="majorHAnsi"/>
        </w:rPr>
        <w:t xml:space="preserve">Agonafer, </w:t>
      </w:r>
      <w:r w:rsidR="003E5F3F">
        <w:rPr>
          <w:rFonts w:asciiTheme="majorHAnsi" w:hAnsiTheme="majorHAnsi"/>
        </w:rPr>
        <w:t xml:space="preserve">Joyce </w:t>
      </w:r>
      <w:r w:rsidR="001C7E2A">
        <w:rPr>
          <w:rFonts w:asciiTheme="majorHAnsi" w:hAnsiTheme="majorHAnsi"/>
        </w:rPr>
        <w:t>Allen</w:t>
      </w:r>
      <w:r w:rsidR="00537380">
        <w:rPr>
          <w:rFonts w:asciiTheme="majorHAnsi" w:hAnsiTheme="majorHAnsi"/>
        </w:rPr>
        <w:t xml:space="preserve"> (absent)</w:t>
      </w:r>
      <w:r w:rsidR="00C0455F">
        <w:rPr>
          <w:rFonts w:asciiTheme="majorHAnsi" w:hAnsiTheme="majorHAnsi"/>
        </w:rPr>
        <w:t xml:space="preserve">, </w:t>
      </w:r>
      <w:r w:rsidR="00BA3862">
        <w:rPr>
          <w:rFonts w:asciiTheme="majorHAnsi" w:hAnsiTheme="majorHAnsi"/>
        </w:rPr>
        <w:t xml:space="preserve">Alana Bermodes, </w:t>
      </w:r>
      <w:r w:rsidR="008517EE">
        <w:rPr>
          <w:rFonts w:asciiTheme="majorHAnsi" w:hAnsiTheme="majorHAnsi"/>
        </w:rPr>
        <w:t>Darre</w:t>
      </w:r>
      <w:r w:rsidR="003E5F3F">
        <w:rPr>
          <w:rFonts w:asciiTheme="majorHAnsi" w:hAnsiTheme="majorHAnsi"/>
        </w:rPr>
        <w:t xml:space="preserve">l </w:t>
      </w:r>
      <w:r w:rsidR="008A1132">
        <w:rPr>
          <w:rFonts w:asciiTheme="majorHAnsi" w:hAnsiTheme="majorHAnsi"/>
        </w:rPr>
        <w:t>Harrison</w:t>
      </w:r>
      <w:r w:rsidR="00537380">
        <w:rPr>
          <w:rFonts w:asciiTheme="majorHAnsi" w:hAnsiTheme="majorHAnsi"/>
        </w:rPr>
        <w:t xml:space="preserve"> (</w:t>
      </w:r>
      <w:proofErr w:type="spellStart"/>
      <w:r w:rsidR="00537380">
        <w:rPr>
          <w:rFonts w:asciiTheme="majorHAnsi" w:hAnsiTheme="majorHAnsi"/>
        </w:rPr>
        <w:t>asbent</w:t>
      </w:r>
      <w:proofErr w:type="spellEnd"/>
      <w:r w:rsidR="00537380">
        <w:rPr>
          <w:rFonts w:asciiTheme="majorHAnsi" w:hAnsiTheme="majorHAnsi"/>
        </w:rPr>
        <w:t>)</w:t>
      </w:r>
      <w:r w:rsidR="008A1132">
        <w:rPr>
          <w:rFonts w:asciiTheme="majorHAnsi" w:hAnsiTheme="majorHAnsi"/>
        </w:rPr>
        <w:t xml:space="preserve">, </w:t>
      </w:r>
      <w:r w:rsidR="001F361E">
        <w:rPr>
          <w:rFonts w:asciiTheme="majorHAnsi" w:hAnsiTheme="majorHAnsi"/>
        </w:rPr>
        <w:t>Adrian Gonzalez</w:t>
      </w:r>
      <w:r w:rsidR="0008399F">
        <w:rPr>
          <w:rFonts w:asciiTheme="majorHAnsi" w:hAnsiTheme="majorHAnsi"/>
        </w:rPr>
        <w:t xml:space="preserve">, </w:t>
      </w:r>
      <w:r w:rsidR="003E5F3F">
        <w:rPr>
          <w:rFonts w:asciiTheme="majorHAnsi" w:hAnsiTheme="majorHAnsi"/>
        </w:rPr>
        <w:t>Mary Kjartanson</w:t>
      </w:r>
      <w:r w:rsidR="00537380">
        <w:rPr>
          <w:rFonts w:asciiTheme="majorHAnsi" w:hAnsiTheme="majorHAnsi"/>
        </w:rPr>
        <w:t xml:space="preserve"> (</w:t>
      </w:r>
      <w:proofErr w:type="spellStart"/>
      <w:r w:rsidR="00537380">
        <w:rPr>
          <w:rFonts w:asciiTheme="majorHAnsi" w:hAnsiTheme="majorHAnsi"/>
        </w:rPr>
        <w:t>asbent</w:t>
      </w:r>
      <w:proofErr w:type="spellEnd"/>
      <w:r w:rsidR="00537380">
        <w:rPr>
          <w:rFonts w:asciiTheme="majorHAnsi" w:hAnsiTheme="majorHAnsi"/>
        </w:rPr>
        <w:t>)</w:t>
      </w:r>
      <w:r w:rsidR="003E5F3F">
        <w:rPr>
          <w:rFonts w:asciiTheme="majorHAnsi" w:hAnsiTheme="majorHAnsi"/>
        </w:rPr>
        <w:t xml:space="preserve">, Laura Murphy, </w:t>
      </w:r>
      <w:r w:rsidR="009B3AEB">
        <w:rPr>
          <w:rFonts w:asciiTheme="majorHAnsi" w:hAnsiTheme="majorHAnsi"/>
        </w:rPr>
        <w:t xml:space="preserve">Marie McMahon, </w:t>
      </w:r>
      <w:r w:rsidR="003E5F3F">
        <w:rPr>
          <w:rFonts w:asciiTheme="majorHAnsi" w:hAnsiTheme="majorHAnsi"/>
        </w:rPr>
        <w:t>Wheeler North</w:t>
      </w:r>
      <w:r w:rsidR="00641AFF">
        <w:rPr>
          <w:rFonts w:asciiTheme="majorHAnsi" w:hAnsiTheme="majorHAnsi"/>
        </w:rPr>
        <w:t xml:space="preserve">, </w:t>
      </w:r>
      <w:r w:rsidR="00D24570">
        <w:rPr>
          <w:rFonts w:asciiTheme="majorHAnsi" w:hAnsiTheme="majorHAnsi"/>
        </w:rPr>
        <w:t>Carlos Trujillo</w:t>
      </w:r>
      <w:r w:rsidR="00C219CD">
        <w:rPr>
          <w:rFonts w:asciiTheme="majorHAnsi" w:hAnsiTheme="majorHAnsi"/>
        </w:rPr>
        <w:t xml:space="preserve">, </w:t>
      </w:r>
      <w:r w:rsidR="00641AFF">
        <w:rPr>
          <w:rFonts w:asciiTheme="majorHAnsi" w:hAnsiTheme="majorHAnsi"/>
        </w:rPr>
        <w:t>Sean Young</w:t>
      </w:r>
    </w:p>
    <w:p w14:paraId="3BA37CB5" w14:textId="72CA7873" w:rsidR="00255C53" w:rsidRDefault="00255C53" w:rsidP="003E5F3F">
      <w:pPr>
        <w:ind w:left="360"/>
        <w:rPr>
          <w:rFonts w:asciiTheme="majorHAnsi" w:hAnsiTheme="majorHAnsi"/>
        </w:rPr>
      </w:pPr>
      <w:r w:rsidRPr="00255C53">
        <w:rPr>
          <w:rFonts w:asciiTheme="majorHAnsi" w:hAnsiTheme="majorHAnsi"/>
          <w:b/>
        </w:rPr>
        <w:t>Additional Faculty/ Guests:</w:t>
      </w:r>
      <w:r>
        <w:rPr>
          <w:rFonts w:asciiTheme="majorHAnsi" w:hAnsiTheme="majorHAnsi"/>
        </w:rPr>
        <w:t xml:space="preserve">  </w:t>
      </w:r>
      <w:r w:rsidR="00537380">
        <w:rPr>
          <w:rFonts w:asciiTheme="majorHAnsi" w:hAnsiTheme="majorHAnsi"/>
        </w:rPr>
        <w:t>Kirk Webley, Kandice Brandt, Paulette Hopkins, Lou Ascione, 3 additional faculty</w:t>
      </w:r>
    </w:p>
    <w:p w14:paraId="7648F053" w14:textId="77777777" w:rsidR="00A41DD2" w:rsidRPr="00A41DD2" w:rsidRDefault="00A41DD2" w:rsidP="00A41DD2">
      <w:pPr>
        <w:rPr>
          <w:rFonts w:asciiTheme="majorHAnsi" w:hAnsiTheme="majorHAnsi"/>
        </w:rPr>
      </w:pPr>
    </w:p>
    <w:p w14:paraId="6C80F133" w14:textId="314DF41C" w:rsidR="003E5996" w:rsidRDefault="00FF405D" w:rsidP="003E0269">
      <w:pPr>
        <w:pStyle w:val="ListParagraph"/>
        <w:numPr>
          <w:ilvl w:val="0"/>
          <w:numId w:val="4"/>
        </w:numPr>
        <w:rPr>
          <w:rFonts w:asciiTheme="majorHAnsi" w:hAnsiTheme="majorHAnsi"/>
          <w:b/>
        </w:rPr>
      </w:pPr>
      <w:r w:rsidRPr="00537380">
        <w:rPr>
          <w:rFonts w:asciiTheme="majorHAnsi" w:hAnsiTheme="majorHAnsi"/>
          <w:b/>
        </w:rPr>
        <w:t>Call to Order</w:t>
      </w:r>
    </w:p>
    <w:p w14:paraId="5C7BC4EB" w14:textId="67B44073" w:rsidR="00537380" w:rsidRPr="00537380" w:rsidRDefault="00537380" w:rsidP="00537380">
      <w:pPr>
        <w:pStyle w:val="ListParagraph"/>
        <w:numPr>
          <w:ilvl w:val="0"/>
          <w:numId w:val="25"/>
        </w:numPr>
        <w:rPr>
          <w:rFonts w:asciiTheme="majorHAnsi" w:hAnsiTheme="majorHAnsi"/>
        </w:rPr>
      </w:pPr>
      <w:r w:rsidRPr="00537380">
        <w:rPr>
          <w:rFonts w:asciiTheme="majorHAnsi" w:hAnsiTheme="majorHAnsi"/>
        </w:rPr>
        <w:t>Meeting called to order at 12:01 pm</w:t>
      </w:r>
    </w:p>
    <w:p w14:paraId="30837AC7" w14:textId="791761AE" w:rsidR="003035E5" w:rsidRDefault="00FF405D" w:rsidP="003526FF">
      <w:pPr>
        <w:pStyle w:val="ListParagraph"/>
        <w:numPr>
          <w:ilvl w:val="0"/>
          <w:numId w:val="4"/>
        </w:numPr>
        <w:rPr>
          <w:rFonts w:asciiTheme="majorHAnsi" w:hAnsiTheme="majorHAnsi"/>
          <w:b/>
        </w:rPr>
      </w:pPr>
      <w:r w:rsidRPr="00537380">
        <w:rPr>
          <w:rFonts w:asciiTheme="majorHAnsi" w:hAnsiTheme="majorHAnsi"/>
          <w:b/>
        </w:rPr>
        <w:t>A</w:t>
      </w:r>
      <w:r w:rsidR="003035E5" w:rsidRPr="00537380">
        <w:rPr>
          <w:rFonts w:asciiTheme="majorHAnsi" w:hAnsiTheme="majorHAnsi"/>
          <w:b/>
        </w:rPr>
        <w:t>doption</w:t>
      </w:r>
      <w:r w:rsidR="00B91B16" w:rsidRPr="00537380">
        <w:rPr>
          <w:rFonts w:asciiTheme="majorHAnsi" w:hAnsiTheme="majorHAnsi"/>
          <w:b/>
        </w:rPr>
        <w:t xml:space="preserve"> of Agenda </w:t>
      </w:r>
    </w:p>
    <w:p w14:paraId="09196FEB" w14:textId="4D6B4EDB" w:rsidR="00537380" w:rsidRPr="00537380" w:rsidRDefault="00537380" w:rsidP="00537380">
      <w:pPr>
        <w:pStyle w:val="ListParagraph"/>
        <w:numPr>
          <w:ilvl w:val="0"/>
          <w:numId w:val="25"/>
        </w:numPr>
        <w:rPr>
          <w:rFonts w:asciiTheme="majorHAnsi" w:hAnsiTheme="majorHAnsi"/>
          <w:b/>
        </w:rPr>
      </w:pPr>
      <w:r>
        <w:rPr>
          <w:rFonts w:asciiTheme="majorHAnsi" w:hAnsiTheme="majorHAnsi"/>
        </w:rPr>
        <w:t>Agenda approved.</w:t>
      </w:r>
    </w:p>
    <w:p w14:paraId="41F7AD25" w14:textId="77777777" w:rsidR="003E5996" w:rsidRPr="00FF405D" w:rsidRDefault="003E5996" w:rsidP="003E5996">
      <w:pPr>
        <w:pStyle w:val="ListParagraph"/>
        <w:rPr>
          <w:rFonts w:asciiTheme="majorHAnsi" w:hAnsiTheme="majorHAnsi"/>
        </w:rPr>
      </w:pPr>
    </w:p>
    <w:p w14:paraId="1847AD60" w14:textId="762D7418" w:rsidR="003E5996" w:rsidRDefault="003E5996" w:rsidP="003E5996">
      <w:pPr>
        <w:pStyle w:val="ListParagraph"/>
        <w:numPr>
          <w:ilvl w:val="0"/>
          <w:numId w:val="4"/>
        </w:numPr>
        <w:rPr>
          <w:rFonts w:asciiTheme="majorHAnsi" w:hAnsiTheme="majorHAnsi"/>
        </w:rPr>
      </w:pPr>
      <w:r w:rsidRPr="00FF405D">
        <w:rPr>
          <w:rFonts w:asciiTheme="majorHAnsi" w:hAnsiTheme="majorHAnsi"/>
        </w:rPr>
        <w:t>Business:</w:t>
      </w:r>
    </w:p>
    <w:tbl>
      <w:tblPr>
        <w:tblStyle w:val="TableGrid"/>
        <w:tblW w:w="9738" w:type="dxa"/>
        <w:tblInd w:w="720" w:type="dxa"/>
        <w:tblLayout w:type="fixed"/>
        <w:tblLook w:val="04A0" w:firstRow="1" w:lastRow="0" w:firstColumn="1" w:lastColumn="0" w:noHBand="0" w:noVBand="1"/>
      </w:tblPr>
      <w:tblGrid>
        <w:gridCol w:w="558"/>
        <w:gridCol w:w="9180"/>
      </w:tblGrid>
      <w:tr w:rsidR="00A50376" w:rsidRPr="00BA48D9" w14:paraId="1FEC12E9" w14:textId="2F3253BF" w:rsidTr="00A50376">
        <w:tc>
          <w:tcPr>
            <w:tcW w:w="558" w:type="dxa"/>
          </w:tcPr>
          <w:p w14:paraId="073A0F23" w14:textId="3F715DA8" w:rsidR="00A50376" w:rsidRPr="003E0269" w:rsidRDefault="00A50376" w:rsidP="008A1132">
            <w:pPr>
              <w:jc w:val="center"/>
              <w:rPr>
                <w:rFonts w:asciiTheme="majorHAnsi" w:hAnsiTheme="majorHAnsi"/>
                <w:b/>
                <w:sz w:val="20"/>
                <w:szCs w:val="20"/>
              </w:rPr>
            </w:pPr>
            <w:r w:rsidRPr="003E0269">
              <w:rPr>
                <w:rFonts w:asciiTheme="majorHAnsi" w:hAnsiTheme="majorHAnsi"/>
                <w:b/>
                <w:sz w:val="20"/>
                <w:szCs w:val="20"/>
              </w:rPr>
              <w:t>#</w:t>
            </w:r>
          </w:p>
        </w:tc>
        <w:tc>
          <w:tcPr>
            <w:tcW w:w="9180" w:type="dxa"/>
          </w:tcPr>
          <w:p w14:paraId="48608E79" w14:textId="562FEA3D" w:rsidR="00A50376" w:rsidRPr="003E0269" w:rsidRDefault="00A50376" w:rsidP="00B10D23">
            <w:pPr>
              <w:jc w:val="center"/>
              <w:rPr>
                <w:rFonts w:asciiTheme="majorHAnsi" w:hAnsiTheme="majorHAnsi"/>
                <w:b/>
                <w:sz w:val="20"/>
                <w:szCs w:val="20"/>
              </w:rPr>
            </w:pPr>
            <w:r w:rsidRPr="003E0269">
              <w:rPr>
                <w:rFonts w:asciiTheme="majorHAnsi" w:hAnsiTheme="majorHAnsi"/>
                <w:b/>
                <w:sz w:val="20"/>
                <w:szCs w:val="20"/>
              </w:rPr>
              <w:t>Item</w:t>
            </w:r>
          </w:p>
        </w:tc>
      </w:tr>
      <w:tr w:rsidR="00A50376" w:rsidRPr="00BA48D9" w14:paraId="255E3CF1" w14:textId="77777777" w:rsidTr="00A50376">
        <w:trPr>
          <w:trHeight w:val="638"/>
        </w:trPr>
        <w:tc>
          <w:tcPr>
            <w:tcW w:w="558" w:type="dxa"/>
          </w:tcPr>
          <w:p w14:paraId="489BAA54" w14:textId="4AE7BDCF" w:rsidR="00A50376" w:rsidRPr="00A50376" w:rsidRDefault="00A50376" w:rsidP="008A1132">
            <w:pPr>
              <w:jc w:val="center"/>
              <w:rPr>
                <w:rFonts w:asciiTheme="majorHAnsi" w:hAnsiTheme="majorHAnsi"/>
                <w:b/>
              </w:rPr>
            </w:pPr>
            <w:r w:rsidRPr="00A50376">
              <w:rPr>
                <w:rFonts w:asciiTheme="majorHAnsi" w:hAnsiTheme="majorHAnsi"/>
                <w:b/>
              </w:rPr>
              <w:t>1</w:t>
            </w:r>
          </w:p>
        </w:tc>
        <w:tc>
          <w:tcPr>
            <w:tcW w:w="9180" w:type="dxa"/>
          </w:tcPr>
          <w:p w14:paraId="5FF45CB5" w14:textId="77777777" w:rsidR="00A50376" w:rsidRPr="00A50376" w:rsidRDefault="00A50376" w:rsidP="00546CDD">
            <w:pPr>
              <w:rPr>
                <w:rFonts w:asciiTheme="majorHAnsi" w:hAnsiTheme="majorHAnsi"/>
                <w:b/>
                <w:i/>
              </w:rPr>
            </w:pPr>
            <w:r w:rsidRPr="00A50376">
              <w:rPr>
                <w:rFonts w:asciiTheme="majorHAnsi" w:hAnsiTheme="majorHAnsi"/>
                <w:b/>
              </w:rPr>
              <w:t>CGC Change Proposals</w:t>
            </w:r>
            <w:r w:rsidRPr="00A50376">
              <w:rPr>
                <w:rFonts w:asciiTheme="majorHAnsi" w:hAnsiTheme="majorHAnsi"/>
                <w:b/>
                <w:i/>
              </w:rPr>
              <w:t xml:space="preserve"> (Standing Item)</w:t>
            </w:r>
          </w:p>
          <w:p w14:paraId="78AF17BA" w14:textId="77777777" w:rsidR="00A50376" w:rsidRDefault="00A50376" w:rsidP="00A50376">
            <w:pPr>
              <w:pStyle w:val="Default"/>
            </w:pPr>
          </w:p>
          <w:tbl>
            <w:tblPr>
              <w:tblW w:w="8892" w:type="dxa"/>
              <w:tblBorders>
                <w:top w:val="nil"/>
                <w:left w:val="nil"/>
                <w:bottom w:val="nil"/>
                <w:right w:val="nil"/>
              </w:tblBorders>
              <w:tblLayout w:type="fixed"/>
              <w:tblLook w:val="0000" w:firstRow="0" w:lastRow="0" w:firstColumn="0" w:lastColumn="0" w:noHBand="0" w:noVBand="0"/>
            </w:tblPr>
            <w:tblGrid>
              <w:gridCol w:w="8892"/>
            </w:tblGrid>
            <w:tr w:rsidR="00A50376" w14:paraId="6A8AA7A8" w14:textId="77777777" w:rsidTr="00CE4994">
              <w:trPr>
                <w:trHeight w:val="4212"/>
              </w:trPr>
              <w:tc>
                <w:tcPr>
                  <w:tcW w:w="8892" w:type="dxa"/>
                </w:tcPr>
                <w:p w14:paraId="3BE59BB1" w14:textId="1A9F838F" w:rsidR="00A50376" w:rsidRPr="00A50376" w:rsidRDefault="00A50376" w:rsidP="00A50376">
                  <w:pPr>
                    <w:pStyle w:val="Default"/>
                    <w:numPr>
                      <w:ilvl w:val="0"/>
                      <w:numId w:val="24"/>
                    </w:numPr>
                    <w:rPr>
                      <w:sz w:val="23"/>
                      <w:szCs w:val="23"/>
                    </w:rPr>
                  </w:pPr>
                  <w:r w:rsidRPr="00A50376">
                    <w:rPr>
                      <w:b/>
                      <w:sz w:val="23"/>
                      <w:szCs w:val="23"/>
                    </w:rPr>
                    <w:t>Faculty Hiring Subcommittee- recommendation to change process in handbook</w:t>
                  </w:r>
                  <w:r>
                    <w:rPr>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572"/>
                  </w:tblGrid>
                  <w:tr w:rsidR="00A50376" w14:paraId="7CCB7CF9" w14:textId="77777777" w:rsidTr="00CE4994">
                    <w:trPr>
                      <w:trHeight w:val="3915"/>
                    </w:trPr>
                    <w:tc>
                      <w:tcPr>
                        <w:tcW w:w="8572" w:type="dxa"/>
                      </w:tcPr>
                      <w:p w14:paraId="347D8AF5" w14:textId="77777777" w:rsidR="00A50376" w:rsidRDefault="00A50376">
                        <w:pPr>
                          <w:pStyle w:val="Default"/>
                          <w:rPr>
                            <w:sz w:val="23"/>
                            <w:szCs w:val="23"/>
                          </w:rPr>
                        </w:pPr>
                      </w:p>
                      <w:p w14:paraId="4F48A907" w14:textId="081D1527" w:rsidR="00A50376" w:rsidRDefault="00A50376">
                        <w:pPr>
                          <w:pStyle w:val="Default"/>
                          <w:rPr>
                            <w:sz w:val="23"/>
                            <w:szCs w:val="23"/>
                          </w:rPr>
                        </w:pPr>
                        <w:r>
                          <w:rPr>
                            <w:sz w:val="23"/>
                            <w:szCs w:val="23"/>
                          </w:rPr>
                          <w:t xml:space="preserve">The recommendation to move forward </w:t>
                        </w:r>
                        <w:r w:rsidR="00CE4994">
                          <w:rPr>
                            <w:sz w:val="23"/>
                            <w:szCs w:val="23"/>
                          </w:rPr>
                          <w:t xml:space="preserve">is as follows: </w:t>
                        </w:r>
                        <w:r>
                          <w:rPr>
                            <w:sz w:val="23"/>
                            <w:szCs w:val="23"/>
                          </w:rPr>
                          <w:t>“</w:t>
                        </w:r>
                        <w:r w:rsidR="00CE4994" w:rsidRPr="00CE4994">
                          <w:rPr>
                            <w:sz w:val="23"/>
                            <w:szCs w:val="23"/>
                          </w:rPr>
                          <w:t>Modify committee process so that replacements for contract faculty retirements happen automatically. To be effective immediately upon approval, applying to all retirements submitted after final approval at CEC. See revised CGH page with strikeout/underline attached.</w:t>
                        </w:r>
                        <w:r w:rsidR="00CE4994">
                          <w:rPr>
                            <w:sz w:val="23"/>
                            <w:szCs w:val="23"/>
                          </w:rPr>
                          <w:t>”</w:t>
                        </w:r>
                      </w:p>
                      <w:p w14:paraId="25CE3816" w14:textId="50B6232E" w:rsidR="00A50376" w:rsidRDefault="00A50376" w:rsidP="00A50376">
                        <w:pPr>
                          <w:pStyle w:val="Default"/>
                          <w:rPr>
                            <w:sz w:val="23"/>
                            <w:szCs w:val="23"/>
                          </w:rPr>
                        </w:pPr>
                        <w:r>
                          <w:rPr>
                            <w:sz w:val="23"/>
                            <w:szCs w:val="23"/>
                          </w:rPr>
                          <w:t xml:space="preserve">North explained some of the suggested revisions on the document and rationale.  Committee confirmed that the current </w:t>
                        </w:r>
                        <w:r w:rsidR="00CE4994">
                          <w:rPr>
                            <w:sz w:val="23"/>
                            <w:szCs w:val="23"/>
                          </w:rPr>
                          <w:t xml:space="preserve">ranked </w:t>
                        </w:r>
                        <w:r>
                          <w:rPr>
                            <w:sz w:val="23"/>
                            <w:szCs w:val="23"/>
                          </w:rPr>
                          <w:t xml:space="preserve">list would be active for all replacements </w:t>
                        </w:r>
                        <w:r w:rsidR="00CE4994">
                          <w:rPr>
                            <w:sz w:val="23"/>
                            <w:szCs w:val="23"/>
                          </w:rPr>
                          <w:t xml:space="preserve">and new positions </w:t>
                        </w:r>
                        <w:r>
                          <w:rPr>
                            <w:sz w:val="23"/>
                            <w:szCs w:val="23"/>
                          </w:rPr>
                          <w:t xml:space="preserve">until this recommendation was approved at Academic Senate and </w:t>
                        </w:r>
                        <w:r w:rsidR="00CE4994">
                          <w:rPr>
                            <w:sz w:val="23"/>
                            <w:szCs w:val="23"/>
                          </w:rPr>
                          <w:t>forwarded to</w:t>
                        </w:r>
                        <w:r>
                          <w:rPr>
                            <w:sz w:val="23"/>
                            <w:szCs w:val="23"/>
                          </w:rPr>
                          <w:t xml:space="preserve"> CEC.  After that </w:t>
                        </w:r>
                        <w:r w:rsidR="00CE4994">
                          <w:rPr>
                            <w:sz w:val="23"/>
                            <w:szCs w:val="23"/>
                          </w:rPr>
                          <w:t>time</w:t>
                        </w:r>
                        <w:r>
                          <w:rPr>
                            <w:sz w:val="23"/>
                            <w:szCs w:val="23"/>
                          </w:rPr>
                          <w:t xml:space="preserve">, retirements would be replaced </w:t>
                        </w:r>
                        <w:r w:rsidR="00CE4994">
                          <w:rPr>
                            <w:sz w:val="23"/>
                            <w:szCs w:val="23"/>
                          </w:rPr>
                          <w:t>automatically</w:t>
                        </w:r>
                        <w:r w:rsidR="00537380">
                          <w:rPr>
                            <w:sz w:val="23"/>
                            <w:szCs w:val="23"/>
                          </w:rPr>
                          <w:t>,</w:t>
                        </w:r>
                        <w:r w:rsidR="00CE4994">
                          <w:rPr>
                            <w:sz w:val="23"/>
                            <w:szCs w:val="23"/>
                          </w:rPr>
                          <w:t xml:space="preserve"> </w:t>
                        </w:r>
                        <w:r>
                          <w:rPr>
                            <w:sz w:val="23"/>
                            <w:szCs w:val="23"/>
                          </w:rPr>
                          <w:t xml:space="preserve">and </w:t>
                        </w:r>
                        <w:r w:rsidR="00CE4994">
                          <w:rPr>
                            <w:sz w:val="23"/>
                            <w:szCs w:val="23"/>
                          </w:rPr>
                          <w:t xml:space="preserve">new positions will go to </w:t>
                        </w:r>
                        <w:r>
                          <w:rPr>
                            <w:sz w:val="23"/>
                            <w:szCs w:val="23"/>
                          </w:rPr>
                          <w:t xml:space="preserve">the current list until a new list </w:t>
                        </w:r>
                        <w:r w:rsidR="00CE4994">
                          <w:rPr>
                            <w:sz w:val="23"/>
                            <w:szCs w:val="23"/>
                          </w:rPr>
                          <w:t>is generated by the Faculty Hiring Committee</w:t>
                        </w:r>
                        <w:r>
                          <w:rPr>
                            <w:sz w:val="23"/>
                            <w:szCs w:val="23"/>
                          </w:rPr>
                          <w:t xml:space="preserve">. </w:t>
                        </w:r>
                        <w:bookmarkStart w:id="0" w:name="_GoBack"/>
                        <w:bookmarkEnd w:id="0"/>
                      </w:p>
                      <w:p w14:paraId="31895696" w14:textId="23B87B7D" w:rsidR="00A50376" w:rsidRPr="00CE4994" w:rsidRDefault="00A50376" w:rsidP="00CE4994">
                        <w:pPr>
                          <w:pStyle w:val="Default"/>
                          <w:rPr>
                            <w:b/>
                            <w:sz w:val="23"/>
                            <w:szCs w:val="23"/>
                          </w:rPr>
                        </w:pPr>
                        <w:r w:rsidRPr="00CE4994">
                          <w:rPr>
                            <w:b/>
                            <w:i/>
                            <w:iCs/>
                            <w:sz w:val="23"/>
                            <w:szCs w:val="23"/>
                          </w:rPr>
                          <w:t>Action</w:t>
                        </w:r>
                        <w:r w:rsidR="00CE4994">
                          <w:rPr>
                            <w:b/>
                            <w:sz w:val="23"/>
                            <w:szCs w:val="23"/>
                          </w:rPr>
                          <w:t>:</w:t>
                        </w:r>
                        <w:r w:rsidRPr="00CE4994">
                          <w:rPr>
                            <w:b/>
                            <w:sz w:val="23"/>
                            <w:szCs w:val="23"/>
                          </w:rPr>
                          <w:t xml:space="preserve"> </w:t>
                        </w:r>
                        <w:r w:rsidRPr="00CE4994">
                          <w:rPr>
                            <w:b/>
                            <w:i/>
                            <w:iCs/>
                            <w:sz w:val="23"/>
                            <w:szCs w:val="23"/>
                          </w:rPr>
                          <w:t xml:space="preserve">McMahon moved to forward recommendation, Gonzales second, all approved. No objection or abstentions. Recommendation will go to the Academic Senate, </w:t>
                        </w:r>
                        <w:r w:rsidR="00CE4994">
                          <w:rPr>
                            <w:b/>
                            <w:i/>
                            <w:iCs/>
                            <w:sz w:val="23"/>
                            <w:szCs w:val="23"/>
                          </w:rPr>
                          <w:t xml:space="preserve">and </w:t>
                        </w:r>
                        <w:r w:rsidRPr="00CE4994">
                          <w:rPr>
                            <w:b/>
                            <w:i/>
                            <w:iCs/>
                            <w:sz w:val="23"/>
                            <w:szCs w:val="23"/>
                          </w:rPr>
                          <w:t xml:space="preserve">once approved </w:t>
                        </w:r>
                        <w:r w:rsidR="00CE4994">
                          <w:rPr>
                            <w:b/>
                            <w:i/>
                            <w:iCs/>
                            <w:sz w:val="23"/>
                            <w:szCs w:val="23"/>
                          </w:rPr>
                          <w:t>will move to CEC as a 10+1 item.</w:t>
                        </w:r>
                        <w:r w:rsidRPr="00CE4994">
                          <w:rPr>
                            <w:b/>
                            <w:i/>
                            <w:iCs/>
                            <w:sz w:val="23"/>
                            <w:szCs w:val="23"/>
                          </w:rPr>
                          <w:t xml:space="preserve"> </w:t>
                        </w:r>
                      </w:p>
                    </w:tc>
                  </w:tr>
                </w:tbl>
                <w:p w14:paraId="7C8A8E86" w14:textId="02741F68" w:rsidR="00A50376" w:rsidRDefault="00A50376">
                  <w:pPr>
                    <w:pStyle w:val="Default"/>
                    <w:rPr>
                      <w:sz w:val="23"/>
                      <w:szCs w:val="23"/>
                    </w:rPr>
                  </w:pPr>
                </w:p>
              </w:tc>
            </w:tr>
          </w:tbl>
          <w:p w14:paraId="16E22C10" w14:textId="739EB82B" w:rsidR="00A50376" w:rsidRPr="000B1D61" w:rsidRDefault="00A50376" w:rsidP="000B1D61">
            <w:pPr>
              <w:pStyle w:val="ListParagraph"/>
              <w:ind w:left="360"/>
              <w:rPr>
                <w:rFonts w:asciiTheme="majorHAnsi" w:hAnsiTheme="majorHAnsi"/>
              </w:rPr>
            </w:pPr>
          </w:p>
        </w:tc>
      </w:tr>
    </w:tbl>
    <w:p w14:paraId="37197A91" w14:textId="77777777" w:rsidR="001F361E" w:rsidRPr="00B75B31" w:rsidRDefault="001F361E" w:rsidP="001F361E">
      <w:pPr>
        <w:pStyle w:val="ListParagraph"/>
        <w:rPr>
          <w:rFonts w:asciiTheme="majorHAnsi" w:hAnsiTheme="majorHAnsi"/>
        </w:rPr>
      </w:pPr>
    </w:p>
    <w:p w14:paraId="4FC41B6A" w14:textId="77777777" w:rsidR="00537380" w:rsidRDefault="004922C1" w:rsidP="00537380">
      <w:pPr>
        <w:pStyle w:val="ListParagraph"/>
        <w:numPr>
          <w:ilvl w:val="0"/>
          <w:numId w:val="4"/>
        </w:numPr>
        <w:rPr>
          <w:rFonts w:asciiTheme="majorHAnsi" w:hAnsiTheme="majorHAnsi"/>
          <w:b/>
        </w:rPr>
      </w:pPr>
      <w:r w:rsidRPr="00537380">
        <w:rPr>
          <w:rFonts w:asciiTheme="majorHAnsi" w:hAnsiTheme="majorHAnsi"/>
          <w:b/>
        </w:rPr>
        <w:t>Announcements</w:t>
      </w:r>
    </w:p>
    <w:p w14:paraId="28BD1136" w14:textId="79D563B8" w:rsidR="00537380" w:rsidRPr="00537380" w:rsidRDefault="00537380" w:rsidP="00537380">
      <w:pPr>
        <w:pStyle w:val="ListParagraph"/>
        <w:numPr>
          <w:ilvl w:val="0"/>
          <w:numId w:val="24"/>
        </w:numPr>
        <w:rPr>
          <w:rFonts w:asciiTheme="majorHAnsi" w:hAnsiTheme="majorHAnsi"/>
          <w:b/>
        </w:rPr>
      </w:pPr>
      <w:r w:rsidRPr="00537380">
        <w:rPr>
          <w:rFonts w:asciiTheme="majorHAnsi" w:hAnsiTheme="majorHAnsi"/>
          <w:b/>
        </w:rPr>
        <w:t>None</w:t>
      </w:r>
    </w:p>
    <w:p w14:paraId="4C689A11" w14:textId="63EB5F5B" w:rsidR="003035E5" w:rsidRPr="00537380" w:rsidRDefault="003035E5" w:rsidP="003E5996">
      <w:pPr>
        <w:pStyle w:val="ListParagraph"/>
        <w:numPr>
          <w:ilvl w:val="0"/>
          <w:numId w:val="4"/>
        </w:numPr>
        <w:rPr>
          <w:rFonts w:asciiTheme="majorHAnsi" w:hAnsiTheme="majorHAnsi"/>
          <w:b/>
        </w:rPr>
      </w:pPr>
      <w:r w:rsidRPr="00537380">
        <w:rPr>
          <w:rFonts w:asciiTheme="majorHAnsi" w:hAnsiTheme="majorHAnsi"/>
          <w:b/>
        </w:rPr>
        <w:t>Adjournment</w:t>
      </w:r>
    </w:p>
    <w:p w14:paraId="0A5F7BAA" w14:textId="106368BF" w:rsidR="00537380" w:rsidRDefault="00537380" w:rsidP="00537380">
      <w:pPr>
        <w:pStyle w:val="ListParagraph"/>
        <w:numPr>
          <w:ilvl w:val="0"/>
          <w:numId w:val="24"/>
        </w:numPr>
        <w:rPr>
          <w:rFonts w:asciiTheme="majorHAnsi" w:hAnsiTheme="majorHAnsi"/>
        </w:rPr>
      </w:pPr>
      <w:r>
        <w:rPr>
          <w:rFonts w:asciiTheme="majorHAnsi" w:hAnsiTheme="majorHAnsi"/>
        </w:rPr>
        <w:t>Meeting adjourned at 12:18 pm</w:t>
      </w:r>
    </w:p>
    <w:p w14:paraId="04D1C65C" w14:textId="277AEBAD" w:rsidR="00FF405D" w:rsidRPr="00537380" w:rsidRDefault="00FF405D" w:rsidP="003E5996">
      <w:pPr>
        <w:pStyle w:val="ListParagraph"/>
        <w:numPr>
          <w:ilvl w:val="0"/>
          <w:numId w:val="4"/>
        </w:numPr>
        <w:rPr>
          <w:rFonts w:asciiTheme="majorHAnsi" w:hAnsiTheme="majorHAnsi"/>
          <w:b/>
        </w:rPr>
      </w:pPr>
      <w:r w:rsidRPr="00537380">
        <w:rPr>
          <w:rFonts w:asciiTheme="majorHAnsi" w:hAnsiTheme="majorHAnsi"/>
          <w:b/>
        </w:rPr>
        <w:t>Next Scheduled Meeting:</w:t>
      </w:r>
      <w:r w:rsidR="006034C6" w:rsidRPr="00537380">
        <w:rPr>
          <w:rFonts w:asciiTheme="majorHAnsi" w:hAnsiTheme="majorHAnsi"/>
          <w:b/>
        </w:rPr>
        <w:t xml:space="preserve"> </w:t>
      </w:r>
      <w:r w:rsidR="005F2E95" w:rsidRPr="00537380">
        <w:rPr>
          <w:rFonts w:asciiTheme="majorHAnsi" w:hAnsiTheme="majorHAnsi"/>
          <w:b/>
        </w:rPr>
        <w:t xml:space="preserve"> </w:t>
      </w:r>
      <w:r w:rsidR="000B1D61" w:rsidRPr="00537380">
        <w:rPr>
          <w:rFonts w:asciiTheme="majorHAnsi" w:hAnsiTheme="majorHAnsi"/>
          <w:b/>
        </w:rPr>
        <w:t>February 12, 2019</w:t>
      </w:r>
    </w:p>
    <w:p w14:paraId="7EB35A69" w14:textId="062E81A8" w:rsidR="00FF405D" w:rsidRDefault="00FF405D" w:rsidP="00FF405D">
      <w:pPr>
        <w:rPr>
          <w:rFonts w:asciiTheme="majorHAnsi" w:hAnsiTheme="majorHAnsi"/>
        </w:rPr>
      </w:pPr>
    </w:p>
    <w:p w14:paraId="15CD750E" w14:textId="0DB9A35C" w:rsidR="003E0269" w:rsidRDefault="003E0269" w:rsidP="00FF405D">
      <w:pPr>
        <w:rPr>
          <w:rFonts w:asciiTheme="majorHAnsi" w:hAnsiTheme="majorHAnsi"/>
        </w:rPr>
      </w:pPr>
      <w:r>
        <w:rPr>
          <w:rFonts w:asciiTheme="majorHAnsi" w:hAnsiTheme="majorHAnsi"/>
          <w:b/>
          <w:noProof/>
          <w:sz w:val="32"/>
        </w:rPr>
        <mc:AlternateContent>
          <mc:Choice Requires="wps">
            <w:drawing>
              <wp:anchor distT="0" distB="0" distL="114300" distR="114300" simplePos="0" relativeHeight="251661312" behindDoc="0" locked="0" layoutInCell="1" allowOverlap="1" wp14:anchorId="25BCCB5A" wp14:editId="16487E90">
                <wp:simplePos x="0" y="0"/>
                <wp:positionH relativeFrom="column">
                  <wp:posOffset>218440</wp:posOffset>
                </wp:positionH>
                <wp:positionV relativeFrom="paragraph">
                  <wp:posOffset>66675</wp:posOffset>
                </wp:positionV>
                <wp:extent cx="6486525" cy="9525"/>
                <wp:effectExtent l="38100" t="38100" r="66675" b="85725"/>
                <wp:wrapNone/>
                <wp:docPr id="3" name="Straight Connector 3"/>
                <wp:cNvGraphicFramePr/>
                <a:graphic xmlns:a="http://schemas.openxmlformats.org/drawingml/2006/main">
                  <a:graphicData uri="http://schemas.microsoft.com/office/word/2010/wordprocessingShape">
                    <wps:wsp>
                      <wps:cNvCnPr/>
                      <wps:spPr>
                        <a:xfrm flipV="1">
                          <a:off x="0" y="0"/>
                          <a:ext cx="64865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pt,5.25pt" to="52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" strokecolor="#4f81bd [3204]" strokeweight="2pt">
                <v:shadow on="t" color="black" opacity="24903f" origin=",.5" offset="0,.55556mm"/>
              </v:line>
            </w:pict>
          </mc:Fallback>
        </mc:AlternateContent>
      </w:r>
    </w:p>
    <w:p w14:paraId="106DBF99" w14:textId="77777777" w:rsidR="001F361E" w:rsidRDefault="00FA6DF1" w:rsidP="001F361E">
      <w:pPr>
        <w:rPr>
          <w:rFonts w:asciiTheme="majorHAnsi" w:hAnsiTheme="majorHAnsi"/>
          <w:b/>
          <w:bCs/>
        </w:rPr>
      </w:pPr>
      <w:r w:rsidRPr="00FA6DF1">
        <w:rPr>
          <w:rFonts w:asciiTheme="majorHAnsi" w:hAnsiTheme="majorHAnsi"/>
        </w:rPr>
        <w:t xml:space="preserve">* </w:t>
      </w:r>
      <w:hyperlink r:id="rId6" w:history="1">
        <w:r w:rsidR="001F361E" w:rsidRPr="009D37BF">
          <w:rPr>
            <w:rStyle w:val="Hyperlink"/>
            <w:rFonts w:asciiTheme="majorHAnsi" w:hAnsiTheme="majorHAnsi"/>
            <w:b/>
            <w:bCs/>
          </w:rPr>
          <w:t>San Diego Miramar College 2013 – 2020 Strategic Plan Goals</w:t>
        </w:r>
      </w:hyperlink>
      <w:r w:rsidR="001F361E">
        <w:rPr>
          <w:rFonts w:asciiTheme="majorHAnsi" w:hAnsiTheme="majorHAnsi"/>
          <w:b/>
          <w:bCs/>
        </w:rPr>
        <w:t xml:space="preserve"> </w:t>
      </w:r>
    </w:p>
    <w:p w14:paraId="4E2E08D7" w14:textId="55ED6CA4" w:rsidR="003E0269" w:rsidRDefault="00205E1F" w:rsidP="003E0269">
      <w:pPr>
        <w:rPr>
          <w:rFonts w:asciiTheme="majorHAnsi" w:hAnsiTheme="majorHAnsi"/>
          <w:b/>
          <w:bCs/>
        </w:rPr>
      </w:pPr>
      <w:r>
        <w:rPr>
          <w:rFonts w:asciiTheme="majorHAnsi" w:hAnsiTheme="majorHAnsi"/>
          <w:b/>
          <w:bCs/>
        </w:rPr>
        <w:t>I</w:t>
      </w:r>
      <w:r w:rsidR="00FA6DF1" w:rsidRPr="00FA6DF1">
        <w:rPr>
          <w:rFonts w:asciiTheme="majorHAnsi" w:hAnsiTheme="majorHAnsi"/>
          <w:b/>
          <w:bCs/>
        </w:rPr>
        <w:t xml:space="preserve">: </w:t>
      </w:r>
      <w:r w:rsidR="00FA6DF1" w:rsidRPr="00FA6DF1">
        <w:rPr>
          <w:rFonts w:asciiTheme="majorHAnsi" w:hAnsiTheme="majorHAnsi"/>
        </w:rPr>
        <w:t>Provide educational programs and services that are responsiv</w:t>
      </w:r>
      <w:r w:rsidR="003E0269">
        <w:rPr>
          <w:rFonts w:asciiTheme="majorHAnsi" w:hAnsiTheme="majorHAnsi"/>
        </w:rPr>
        <w:t xml:space="preserve">e to change and support student </w:t>
      </w:r>
      <w:r w:rsidR="00FA6DF1" w:rsidRPr="00FA6DF1">
        <w:rPr>
          <w:rFonts w:asciiTheme="majorHAnsi" w:hAnsiTheme="majorHAnsi"/>
        </w:rPr>
        <w:t xml:space="preserve">learning and success. </w:t>
      </w:r>
    </w:p>
    <w:p w14:paraId="35BA55AD" w14:textId="27DC1D72" w:rsidR="003E0269" w:rsidRDefault="00205E1F" w:rsidP="003E0269">
      <w:pPr>
        <w:rPr>
          <w:rFonts w:asciiTheme="majorHAnsi" w:hAnsiTheme="majorHAnsi"/>
          <w:b/>
          <w:bCs/>
        </w:rPr>
      </w:pPr>
      <w:r>
        <w:rPr>
          <w:rFonts w:asciiTheme="majorHAnsi" w:hAnsiTheme="majorHAnsi"/>
          <w:b/>
          <w:bCs/>
        </w:rPr>
        <w:t>II</w:t>
      </w:r>
      <w:r w:rsidR="00FA6DF1" w:rsidRPr="00FA6DF1">
        <w:rPr>
          <w:rFonts w:asciiTheme="majorHAnsi" w:hAnsiTheme="majorHAnsi"/>
          <w:b/>
          <w:bCs/>
        </w:rPr>
        <w:t xml:space="preserve">: </w:t>
      </w:r>
      <w:r w:rsidR="00FA6DF1" w:rsidRPr="00FA6DF1">
        <w:rPr>
          <w:rFonts w:asciiTheme="majorHAnsi" w:hAnsiTheme="majorHAnsi"/>
        </w:rPr>
        <w:t xml:space="preserve">Deliver educational programs and services in formats and at locations that meet student needs. </w:t>
      </w:r>
    </w:p>
    <w:p w14:paraId="2B6A2ABF" w14:textId="56BA86A3" w:rsidR="003E0269" w:rsidRDefault="00205E1F" w:rsidP="003E0269">
      <w:pPr>
        <w:rPr>
          <w:rFonts w:asciiTheme="majorHAnsi" w:hAnsiTheme="majorHAnsi"/>
          <w:b/>
          <w:bCs/>
        </w:rPr>
      </w:pPr>
      <w:r>
        <w:rPr>
          <w:rFonts w:asciiTheme="majorHAnsi" w:hAnsiTheme="majorHAnsi"/>
          <w:b/>
          <w:bCs/>
        </w:rPr>
        <w:t>III</w:t>
      </w:r>
      <w:r w:rsidR="00FA6DF1" w:rsidRPr="00FA6DF1">
        <w:rPr>
          <w:rFonts w:asciiTheme="majorHAnsi" w:hAnsiTheme="majorHAnsi"/>
          <w:b/>
          <w:bCs/>
        </w:rPr>
        <w:t xml:space="preserve">: </w:t>
      </w:r>
      <w:r w:rsidR="00FA6DF1" w:rsidRPr="00FA6DF1">
        <w:rPr>
          <w:rFonts w:asciiTheme="majorHAnsi" w:hAnsiTheme="majorHAnsi"/>
        </w:rPr>
        <w:t xml:space="preserve">Enhance the college experience for students and the community by providing student-centered programs, services and activities that celebrate diversity and sustainable practices. </w:t>
      </w:r>
    </w:p>
    <w:p w14:paraId="0B6C1D2D" w14:textId="5083EA03" w:rsidR="004E7C15" w:rsidRDefault="00205E1F" w:rsidP="003E0269">
      <w:pPr>
        <w:rPr>
          <w:rFonts w:asciiTheme="majorHAnsi" w:hAnsiTheme="majorHAnsi"/>
        </w:rPr>
      </w:pPr>
      <w:r>
        <w:rPr>
          <w:rFonts w:asciiTheme="majorHAnsi" w:hAnsiTheme="majorHAnsi"/>
          <w:b/>
          <w:bCs/>
        </w:rPr>
        <w:lastRenderedPageBreak/>
        <w:t>IV</w:t>
      </w:r>
      <w:r w:rsidR="00FA6DF1" w:rsidRPr="00FA6DF1">
        <w:rPr>
          <w:rFonts w:asciiTheme="majorHAnsi" w:hAnsiTheme="majorHAnsi"/>
          <w:b/>
          <w:bCs/>
        </w:rPr>
        <w:t xml:space="preserve">: </w:t>
      </w:r>
      <w:r w:rsidR="00FA6DF1" w:rsidRPr="00FA6DF1">
        <w:rPr>
          <w:rFonts w:asciiTheme="majorHAnsi" w:hAnsiTheme="majorHAnsi"/>
        </w:rPr>
        <w:t>Develop, strengthen and sustain beneficial partnerships with educational institutions, business a</w:t>
      </w:r>
      <w:r w:rsidR="00911E7C">
        <w:rPr>
          <w:rFonts w:asciiTheme="majorHAnsi" w:hAnsiTheme="majorHAnsi"/>
        </w:rPr>
        <w:t>nd industry, and our community.</w:t>
      </w:r>
    </w:p>
    <w:p w14:paraId="0AE683C8" w14:textId="77777777" w:rsidR="001F361E" w:rsidRDefault="001F361E" w:rsidP="003E0269">
      <w:pPr>
        <w:rPr>
          <w:rFonts w:asciiTheme="majorHAnsi" w:hAnsiTheme="majorHAnsi"/>
        </w:rPr>
      </w:pPr>
    </w:p>
    <w:p w14:paraId="47FC95F9" w14:textId="77777777" w:rsidR="001F361E" w:rsidRDefault="001F361E" w:rsidP="001F361E">
      <w:pPr>
        <w:rPr>
          <w:rFonts w:asciiTheme="majorHAnsi" w:hAnsiTheme="majorHAnsi"/>
        </w:rPr>
      </w:pPr>
      <w:r>
        <w:rPr>
          <w:rFonts w:asciiTheme="majorHAnsi" w:hAnsiTheme="majorHAnsi"/>
        </w:rPr>
        <w:t xml:space="preserve">** </w:t>
      </w:r>
      <w:hyperlink r:id="rId7" w:history="1">
        <w:r w:rsidRPr="003B785B">
          <w:rPr>
            <w:rStyle w:val="Hyperlink"/>
            <w:rFonts w:asciiTheme="majorHAnsi" w:hAnsiTheme="majorHAnsi"/>
            <w:b/>
          </w:rPr>
          <w:t>ACCJC Accreditation Standards (Adopted June 2014)</w:t>
        </w:r>
      </w:hyperlink>
    </w:p>
    <w:p w14:paraId="40125A48" w14:textId="77777777" w:rsidR="001F361E" w:rsidRPr="003B785B" w:rsidRDefault="001F361E" w:rsidP="001F361E">
      <w:pPr>
        <w:rPr>
          <w:rFonts w:asciiTheme="majorHAnsi" w:hAnsiTheme="majorHAnsi"/>
          <w:b/>
        </w:rPr>
      </w:pPr>
      <w:r w:rsidRPr="003B785B">
        <w:rPr>
          <w:rFonts w:asciiTheme="majorHAnsi" w:hAnsiTheme="majorHAnsi"/>
          <w:b/>
        </w:rPr>
        <w:t>I. Mission, Academic Quality and Instructional Effectiveness, and Integrity</w:t>
      </w:r>
    </w:p>
    <w:p w14:paraId="1B1E5A6B" w14:textId="77777777" w:rsidR="001F361E" w:rsidRPr="003B785B" w:rsidRDefault="001F361E" w:rsidP="001F361E">
      <w:pPr>
        <w:rPr>
          <w:rFonts w:asciiTheme="majorHAnsi" w:hAnsiTheme="majorHAnsi"/>
        </w:rPr>
      </w:pPr>
      <w:r>
        <w:rPr>
          <w:rFonts w:asciiTheme="majorHAnsi" w:hAnsiTheme="majorHAnsi"/>
        </w:rPr>
        <w:tab/>
      </w:r>
      <w:proofErr w:type="gramStart"/>
      <w:r w:rsidRPr="003B785B">
        <w:rPr>
          <w:rFonts w:asciiTheme="majorHAnsi" w:hAnsiTheme="majorHAnsi"/>
        </w:rPr>
        <w:t>I.A  Mission</w:t>
      </w:r>
      <w:proofErr w:type="gramEnd"/>
    </w:p>
    <w:p w14:paraId="767F81AD" w14:textId="77777777" w:rsidR="001F361E" w:rsidRPr="003B785B" w:rsidRDefault="001F361E" w:rsidP="001F361E">
      <w:pPr>
        <w:rPr>
          <w:rFonts w:asciiTheme="majorHAnsi" w:hAnsiTheme="majorHAnsi"/>
        </w:rPr>
      </w:pPr>
      <w:r w:rsidRPr="003B785B">
        <w:rPr>
          <w:rFonts w:asciiTheme="majorHAnsi" w:hAnsiTheme="majorHAnsi"/>
        </w:rPr>
        <w:tab/>
      </w:r>
      <w:proofErr w:type="gramStart"/>
      <w:r w:rsidRPr="003B785B">
        <w:rPr>
          <w:rFonts w:asciiTheme="majorHAnsi" w:hAnsiTheme="majorHAnsi"/>
        </w:rPr>
        <w:t>I.B  Assuring</w:t>
      </w:r>
      <w:proofErr w:type="gramEnd"/>
      <w:r w:rsidRPr="003B785B">
        <w:rPr>
          <w:rFonts w:asciiTheme="majorHAnsi" w:hAnsiTheme="majorHAnsi"/>
        </w:rPr>
        <w:t xml:space="preserve"> Academic Quality and Institutional Effectiveness</w:t>
      </w:r>
    </w:p>
    <w:p w14:paraId="149EBCA4" w14:textId="77777777" w:rsidR="001F361E" w:rsidRPr="003B785B" w:rsidRDefault="001F361E" w:rsidP="001F361E">
      <w:pPr>
        <w:rPr>
          <w:rFonts w:asciiTheme="majorHAnsi" w:hAnsiTheme="majorHAnsi"/>
        </w:rPr>
      </w:pPr>
      <w:r w:rsidRPr="003B785B">
        <w:rPr>
          <w:rFonts w:asciiTheme="majorHAnsi" w:hAnsiTheme="majorHAnsi"/>
        </w:rPr>
        <w:tab/>
        <w:t>I.C Institutional Integrity</w:t>
      </w:r>
    </w:p>
    <w:p w14:paraId="28B79D8C" w14:textId="77777777" w:rsidR="001F361E" w:rsidRPr="003B785B" w:rsidRDefault="001F361E" w:rsidP="001F361E">
      <w:pPr>
        <w:rPr>
          <w:rFonts w:asciiTheme="majorHAnsi" w:hAnsiTheme="majorHAnsi"/>
          <w:b/>
        </w:rPr>
      </w:pPr>
      <w:r w:rsidRPr="003B785B">
        <w:rPr>
          <w:rFonts w:asciiTheme="majorHAnsi" w:hAnsiTheme="majorHAnsi"/>
          <w:b/>
        </w:rPr>
        <w:t>II. Student Learning Programs and Support Services</w:t>
      </w:r>
    </w:p>
    <w:p w14:paraId="2723BFA7" w14:textId="77777777" w:rsidR="001F361E" w:rsidRDefault="001F361E" w:rsidP="001F361E">
      <w:pPr>
        <w:rPr>
          <w:rFonts w:asciiTheme="majorHAnsi" w:hAnsiTheme="majorHAnsi"/>
        </w:rPr>
      </w:pPr>
      <w:r>
        <w:rPr>
          <w:rFonts w:asciiTheme="majorHAnsi" w:hAnsiTheme="majorHAnsi"/>
        </w:rPr>
        <w:tab/>
      </w:r>
      <w:proofErr w:type="gramStart"/>
      <w:r>
        <w:rPr>
          <w:rFonts w:asciiTheme="majorHAnsi" w:hAnsiTheme="majorHAnsi"/>
        </w:rPr>
        <w:t xml:space="preserve">II.A  </w:t>
      </w:r>
      <w:r w:rsidRPr="003B785B">
        <w:rPr>
          <w:rFonts w:asciiTheme="majorHAnsi" w:hAnsiTheme="majorHAnsi"/>
        </w:rPr>
        <w:t>Instructional</w:t>
      </w:r>
      <w:proofErr w:type="gramEnd"/>
      <w:r w:rsidRPr="003B785B">
        <w:rPr>
          <w:rFonts w:asciiTheme="majorHAnsi" w:hAnsiTheme="majorHAnsi"/>
        </w:rPr>
        <w:t xml:space="preserve"> Programs</w:t>
      </w:r>
    </w:p>
    <w:p w14:paraId="217C4190" w14:textId="77777777" w:rsidR="001F361E" w:rsidRDefault="001F361E" w:rsidP="001F361E">
      <w:pPr>
        <w:rPr>
          <w:rFonts w:asciiTheme="majorHAnsi" w:hAnsiTheme="majorHAnsi"/>
        </w:rPr>
      </w:pPr>
      <w:r>
        <w:rPr>
          <w:rFonts w:asciiTheme="majorHAnsi" w:hAnsiTheme="majorHAnsi"/>
        </w:rPr>
        <w:tab/>
      </w:r>
      <w:proofErr w:type="gramStart"/>
      <w:r>
        <w:rPr>
          <w:rFonts w:asciiTheme="majorHAnsi" w:hAnsiTheme="majorHAnsi"/>
        </w:rPr>
        <w:t xml:space="preserve">II.B  </w:t>
      </w:r>
      <w:r w:rsidRPr="003B785B">
        <w:rPr>
          <w:rFonts w:asciiTheme="majorHAnsi" w:hAnsiTheme="majorHAnsi"/>
        </w:rPr>
        <w:t>Library</w:t>
      </w:r>
      <w:proofErr w:type="gramEnd"/>
      <w:r w:rsidRPr="003B785B">
        <w:rPr>
          <w:rFonts w:asciiTheme="majorHAnsi" w:hAnsiTheme="majorHAnsi"/>
        </w:rPr>
        <w:t xml:space="preserve"> and Learning Support Services</w:t>
      </w:r>
    </w:p>
    <w:p w14:paraId="36EBE743" w14:textId="77777777" w:rsidR="001F361E" w:rsidRDefault="001F361E" w:rsidP="001F361E">
      <w:pPr>
        <w:rPr>
          <w:rFonts w:asciiTheme="majorHAnsi" w:hAnsiTheme="majorHAnsi"/>
        </w:rPr>
      </w:pPr>
      <w:r>
        <w:rPr>
          <w:rFonts w:asciiTheme="majorHAnsi" w:hAnsiTheme="majorHAnsi"/>
        </w:rPr>
        <w:tab/>
      </w:r>
      <w:proofErr w:type="gramStart"/>
      <w:r>
        <w:rPr>
          <w:rFonts w:asciiTheme="majorHAnsi" w:hAnsiTheme="majorHAnsi"/>
        </w:rPr>
        <w:t xml:space="preserve">II.C  </w:t>
      </w:r>
      <w:r w:rsidRPr="003B785B">
        <w:rPr>
          <w:rFonts w:asciiTheme="majorHAnsi" w:hAnsiTheme="majorHAnsi"/>
        </w:rPr>
        <w:t>Student</w:t>
      </w:r>
      <w:proofErr w:type="gramEnd"/>
      <w:r w:rsidRPr="003B785B">
        <w:rPr>
          <w:rFonts w:asciiTheme="majorHAnsi" w:hAnsiTheme="majorHAnsi"/>
        </w:rPr>
        <w:t xml:space="preserve"> Support Services</w:t>
      </w:r>
    </w:p>
    <w:p w14:paraId="1313C6CA" w14:textId="77777777" w:rsidR="001F361E" w:rsidRPr="003B785B" w:rsidRDefault="001F361E" w:rsidP="001F361E">
      <w:pPr>
        <w:rPr>
          <w:rFonts w:asciiTheme="majorHAnsi" w:hAnsiTheme="majorHAnsi"/>
          <w:b/>
        </w:rPr>
      </w:pPr>
      <w:r w:rsidRPr="003B785B">
        <w:rPr>
          <w:rFonts w:asciiTheme="majorHAnsi" w:hAnsiTheme="majorHAnsi"/>
          <w:b/>
        </w:rPr>
        <w:t>III. Resources</w:t>
      </w:r>
    </w:p>
    <w:p w14:paraId="78BDF7DD" w14:textId="77777777" w:rsidR="001F361E" w:rsidRDefault="001F361E" w:rsidP="001F361E">
      <w:pPr>
        <w:rPr>
          <w:rFonts w:asciiTheme="majorHAnsi" w:hAnsiTheme="majorHAnsi"/>
        </w:rPr>
      </w:pPr>
      <w:r>
        <w:rPr>
          <w:rFonts w:asciiTheme="majorHAnsi" w:hAnsiTheme="majorHAnsi"/>
        </w:rPr>
        <w:tab/>
      </w:r>
      <w:proofErr w:type="gramStart"/>
      <w:r>
        <w:rPr>
          <w:rFonts w:asciiTheme="majorHAnsi" w:hAnsiTheme="majorHAnsi"/>
        </w:rPr>
        <w:t>III.A  Human</w:t>
      </w:r>
      <w:proofErr w:type="gramEnd"/>
      <w:r>
        <w:rPr>
          <w:rFonts w:asciiTheme="majorHAnsi" w:hAnsiTheme="majorHAnsi"/>
        </w:rPr>
        <w:t xml:space="preserve"> Resources</w:t>
      </w:r>
    </w:p>
    <w:p w14:paraId="2ADADA3D" w14:textId="77777777" w:rsidR="001F361E" w:rsidRDefault="001F361E" w:rsidP="001F361E">
      <w:pPr>
        <w:rPr>
          <w:rFonts w:asciiTheme="majorHAnsi" w:hAnsiTheme="majorHAnsi"/>
        </w:rPr>
      </w:pPr>
      <w:r>
        <w:rPr>
          <w:rFonts w:asciiTheme="majorHAnsi" w:hAnsiTheme="majorHAnsi"/>
        </w:rPr>
        <w:tab/>
      </w:r>
      <w:proofErr w:type="gramStart"/>
      <w:r>
        <w:rPr>
          <w:rFonts w:asciiTheme="majorHAnsi" w:hAnsiTheme="majorHAnsi"/>
        </w:rPr>
        <w:t>III.B  Physical</w:t>
      </w:r>
      <w:proofErr w:type="gramEnd"/>
      <w:r>
        <w:rPr>
          <w:rFonts w:asciiTheme="majorHAnsi" w:hAnsiTheme="majorHAnsi"/>
        </w:rPr>
        <w:t xml:space="preserve"> Resources</w:t>
      </w:r>
    </w:p>
    <w:p w14:paraId="28F320DE" w14:textId="77777777" w:rsidR="001F361E" w:rsidRDefault="001F361E" w:rsidP="001F361E">
      <w:pPr>
        <w:rPr>
          <w:rFonts w:asciiTheme="majorHAnsi" w:hAnsiTheme="majorHAnsi"/>
        </w:rPr>
      </w:pPr>
      <w:r>
        <w:rPr>
          <w:rFonts w:asciiTheme="majorHAnsi" w:hAnsiTheme="majorHAnsi"/>
        </w:rPr>
        <w:tab/>
      </w:r>
      <w:proofErr w:type="gramStart"/>
      <w:r>
        <w:rPr>
          <w:rFonts w:asciiTheme="majorHAnsi" w:hAnsiTheme="majorHAnsi"/>
        </w:rPr>
        <w:t>III.C  Technology</w:t>
      </w:r>
      <w:proofErr w:type="gramEnd"/>
      <w:r>
        <w:rPr>
          <w:rFonts w:asciiTheme="majorHAnsi" w:hAnsiTheme="majorHAnsi"/>
        </w:rPr>
        <w:t xml:space="preserve"> Resources</w:t>
      </w:r>
    </w:p>
    <w:p w14:paraId="12409BCC" w14:textId="77777777" w:rsidR="001F361E" w:rsidRDefault="001F361E" w:rsidP="001F361E">
      <w:pPr>
        <w:rPr>
          <w:rFonts w:asciiTheme="majorHAnsi" w:hAnsiTheme="majorHAnsi"/>
        </w:rPr>
      </w:pPr>
      <w:r>
        <w:rPr>
          <w:rFonts w:asciiTheme="majorHAnsi" w:hAnsiTheme="majorHAnsi"/>
        </w:rPr>
        <w:tab/>
      </w:r>
      <w:proofErr w:type="gramStart"/>
      <w:r>
        <w:rPr>
          <w:rFonts w:asciiTheme="majorHAnsi" w:hAnsiTheme="majorHAnsi"/>
        </w:rPr>
        <w:t>III.D  Financial</w:t>
      </w:r>
      <w:proofErr w:type="gramEnd"/>
      <w:r>
        <w:rPr>
          <w:rFonts w:asciiTheme="majorHAnsi" w:hAnsiTheme="majorHAnsi"/>
        </w:rPr>
        <w:t xml:space="preserve"> Resources</w:t>
      </w:r>
    </w:p>
    <w:p w14:paraId="53A5AEF6" w14:textId="77777777" w:rsidR="001F361E" w:rsidRPr="003B785B" w:rsidRDefault="001F361E" w:rsidP="001F361E">
      <w:pPr>
        <w:rPr>
          <w:rFonts w:asciiTheme="majorHAnsi" w:hAnsiTheme="majorHAnsi"/>
          <w:b/>
        </w:rPr>
      </w:pPr>
      <w:r w:rsidRPr="003B785B">
        <w:rPr>
          <w:rFonts w:asciiTheme="majorHAnsi" w:hAnsiTheme="majorHAnsi"/>
          <w:b/>
        </w:rPr>
        <w:t>IV. Leadership and Governance</w:t>
      </w:r>
    </w:p>
    <w:p w14:paraId="1635E2A5" w14:textId="77777777" w:rsidR="001F361E" w:rsidRDefault="001F361E" w:rsidP="001F361E">
      <w:pPr>
        <w:rPr>
          <w:rFonts w:asciiTheme="majorHAnsi" w:hAnsiTheme="majorHAnsi"/>
        </w:rPr>
      </w:pPr>
      <w:r>
        <w:rPr>
          <w:rFonts w:asciiTheme="majorHAnsi" w:hAnsiTheme="majorHAnsi"/>
        </w:rPr>
        <w:tab/>
      </w:r>
      <w:proofErr w:type="gramStart"/>
      <w:r>
        <w:rPr>
          <w:rFonts w:asciiTheme="majorHAnsi" w:hAnsiTheme="majorHAnsi"/>
        </w:rPr>
        <w:t>IV.A  Decision</w:t>
      </w:r>
      <w:proofErr w:type="gramEnd"/>
      <w:r>
        <w:rPr>
          <w:rFonts w:asciiTheme="majorHAnsi" w:hAnsiTheme="majorHAnsi"/>
        </w:rPr>
        <w:t>-Making Roles and Processes</w:t>
      </w:r>
    </w:p>
    <w:p w14:paraId="2C448E2A" w14:textId="77777777" w:rsidR="001F361E" w:rsidRDefault="001F361E" w:rsidP="001F361E">
      <w:pPr>
        <w:rPr>
          <w:rFonts w:asciiTheme="majorHAnsi" w:hAnsiTheme="majorHAnsi"/>
        </w:rPr>
      </w:pPr>
      <w:r>
        <w:rPr>
          <w:rFonts w:asciiTheme="majorHAnsi" w:hAnsiTheme="majorHAnsi"/>
        </w:rPr>
        <w:tab/>
      </w:r>
      <w:proofErr w:type="gramStart"/>
      <w:r>
        <w:rPr>
          <w:rFonts w:asciiTheme="majorHAnsi" w:hAnsiTheme="majorHAnsi"/>
        </w:rPr>
        <w:t>IV.B  Chief</w:t>
      </w:r>
      <w:proofErr w:type="gramEnd"/>
      <w:r>
        <w:rPr>
          <w:rFonts w:asciiTheme="majorHAnsi" w:hAnsiTheme="majorHAnsi"/>
        </w:rPr>
        <w:t xml:space="preserve"> Executive Officer</w:t>
      </w:r>
    </w:p>
    <w:p w14:paraId="5D0E99E7" w14:textId="77777777" w:rsidR="001F361E" w:rsidRDefault="001F361E" w:rsidP="001F361E">
      <w:pPr>
        <w:rPr>
          <w:rFonts w:asciiTheme="majorHAnsi" w:hAnsiTheme="majorHAnsi"/>
        </w:rPr>
      </w:pPr>
      <w:r>
        <w:rPr>
          <w:rFonts w:asciiTheme="majorHAnsi" w:hAnsiTheme="majorHAnsi"/>
        </w:rPr>
        <w:tab/>
      </w:r>
      <w:proofErr w:type="gramStart"/>
      <w:r>
        <w:rPr>
          <w:rFonts w:asciiTheme="majorHAnsi" w:hAnsiTheme="majorHAnsi"/>
        </w:rPr>
        <w:t>IV.C  Governing</w:t>
      </w:r>
      <w:proofErr w:type="gramEnd"/>
      <w:r>
        <w:rPr>
          <w:rFonts w:asciiTheme="majorHAnsi" w:hAnsiTheme="majorHAnsi"/>
        </w:rPr>
        <w:t xml:space="preserve"> Board</w:t>
      </w:r>
    </w:p>
    <w:p w14:paraId="1433190C" w14:textId="77777777" w:rsidR="001F361E" w:rsidRPr="003B785B" w:rsidRDefault="001F361E" w:rsidP="001F361E">
      <w:pPr>
        <w:rPr>
          <w:rFonts w:asciiTheme="majorHAnsi" w:hAnsiTheme="majorHAnsi"/>
          <w:b/>
          <w:bCs/>
        </w:rPr>
      </w:pPr>
      <w:r>
        <w:rPr>
          <w:rFonts w:asciiTheme="majorHAnsi" w:hAnsiTheme="majorHAnsi"/>
        </w:rPr>
        <w:tab/>
      </w:r>
      <w:proofErr w:type="gramStart"/>
      <w:r>
        <w:rPr>
          <w:rFonts w:asciiTheme="majorHAnsi" w:hAnsiTheme="majorHAnsi"/>
        </w:rPr>
        <w:t>IV.D  Multi</w:t>
      </w:r>
      <w:proofErr w:type="gramEnd"/>
      <w:r>
        <w:rPr>
          <w:rFonts w:asciiTheme="majorHAnsi" w:hAnsiTheme="majorHAnsi"/>
        </w:rPr>
        <w:t>-College Districts or Systems.</w:t>
      </w:r>
    </w:p>
    <w:p w14:paraId="485A36FE" w14:textId="77777777" w:rsidR="001F361E" w:rsidRPr="00911E7C" w:rsidRDefault="001F361E" w:rsidP="003E0269">
      <w:pPr>
        <w:rPr>
          <w:rFonts w:asciiTheme="majorHAnsi" w:hAnsiTheme="majorHAnsi"/>
        </w:rPr>
      </w:pPr>
    </w:p>
    <w:sectPr w:rsidR="001F361E" w:rsidRPr="00911E7C" w:rsidSect="00CF7BC2">
      <w:pgSz w:w="12240" w:h="15840"/>
      <w:pgMar w:top="81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753"/>
    <w:multiLevelType w:val="hybridMultilevel"/>
    <w:tmpl w:val="ECA28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71F76"/>
    <w:multiLevelType w:val="hybridMultilevel"/>
    <w:tmpl w:val="471A1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4A5571"/>
    <w:multiLevelType w:val="hybridMultilevel"/>
    <w:tmpl w:val="35D48FF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C70B8"/>
    <w:multiLevelType w:val="hybridMultilevel"/>
    <w:tmpl w:val="553C3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867377"/>
    <w:multiLevelType w:val="hybridMultilevel"/>
    <w:tmpl w:val="1432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E09AB"/>
    <w:multiLevelType w:val="hybridMultilevel"/>
    <w:tmpl w:val="1FEC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B311D"/>
    <w:multiLevelType w:val="hybridMultilevel"/>
    <w:tmpl w:val="C79C6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70992"/>
    <w:multiLevelType w:val="hybridMultilevel"/>
    <w:tmpl w:val="52DE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E354B"/>
    <w:multiLevelType w:val="hybridMultilevel"/>
    <w:tmpl w:val="9E362F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494D7B"/>
    <w:multiLevelType w:val="hybridMultilevel"/>
    <w:tmpl w:val="5EA677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A631933"/>
    <w:multiLevelType w:val="hybridMultilevel"/>
    <w:tmpl w:val="182E1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1">
    <w:nsid w:val="3C5C48CD"/>
    <w:multiLevelType w:val="hybridMultilevel"/>
    <w:tmpl w:val="4C20C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960D35"/>
    <w:multiLevelType w:val="hybridMultilevel"/>
    <w:tmpl w:val="C85AAA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A016E"/>
    <w:multiLevelType w:val="hybridMultilevel"/>
    <w:tmpl w:val="AECC4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826276"/>
    <w:multiLevelType w:val="hybridMultilevel"/>
    <w:tmpl w:val="45A8C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30B11"/>
    <w:multiLevelType w:val="hybridMultilevel"/>
    <w:tmpl w:val="7B8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9444C"/>
    <w:multiLevelType w:val="hybridMultilevel"/>
    <w:tmpl w:val="5FCCB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AC3521"/>
    <w:multiLevelType w:val="hybridMultilevel"/>
    <w:tmpl w:val="DB5E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475FD"/>
    <w:multiLevelType w:val="hybridMultilevel"/>
    <w:tmpl w:val="9442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7103D"/>
    <w:multiLevelType w:val="hybridMultilevel"/>
    <w:tmpl w:val="6F1CF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C3C49"/>
    <w:multiLevelType w:val="hybridMultilevel"/>
    <w:tmpl w:val="E0F2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B3601D"/>
    <w:multiLevelType w:val="hybridMultilevel"/>
    <w:tmpl w:val="15B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57770C"/>
    <w:multiLevelType w:val="hybridMultilevel"/>
    <w:tmpl w:val="456E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C7043F"/>
    <w:multiLevelType w:val="hybridMultilevel"/>
    <w:tmpl w:val="12C21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0A7ED3"/>
    <w:multiLevelType w:val="hybridMultilevel"/>
    <w:tmpl w:val="4CEE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
  </w:num>
  <w:num w:numId="5">
    <w:abstractNumId w:val="19"/>
  </w:num>
  <w:num w:numId="6">
    <w:abstractNumId w:val="24"/>
  </w:num>
  <w:num w:numId="7">
    <w:abstractNumId w:val="8"/>
  </w:num>
  <w:num w:numId="8">
    <w:abstractNumId w:val="14"/>
  </w:num>
  <w:num w:numId="9">
    <w:abstractNumId w:val="7"/>
  </w:num>
  <w:num w:numId="10">
    <w:abstractNumId w:val="21"/>
  </w:num>
  <w:num w:numId="11">
    <w:abstractNumId w:val="18"/>
  </w:num>
  <w:num w:numId="12">
    <w:abstractNumId w:val="4"/>
  </w:num>
  <w:num w:numId="13">
    <w:abstractNumId w:val="23"/>
  </w:num>
  <w:num w:numId="14">
    <w:abstractNumId w:val="15"/>
  </w:num>
  <w:num w:numId="15">
    <w:abstractNumId w:val="13"/>
  </w:num>
  <w:num w:numId="16">
    <w:abstractNumId w:val="9"/>
  </w:num>
  <w:num w:numId="17">
    <w:abstractNumId w:val="1"/>
  </w:num>
  <w:num w:numId="18">
    <w:abstractNumId w:val="0"/>
  </w:num>
  <w:num w:numId="19">
    <w:abstractNumId w:val="5"/>
  </w:num>
  <w:num w:numId="20">
    <w:abstractNumId w:val="22"/>
  </w:num>
  <w:num w:numId="21">
    <w:abstractNumId w:val="20"/>
  </w:num>
  <w:num w:numId="22">
    <w:abstractNumId w:val="3"/>
  </w:num>
  <w:num w:numId="23">
    <w:abstractNumId w:val="11"/>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5D"/>
    <w:rsid w:val="00007A25"/>
    <w:rsid w:val="00016E3A"/>
    <w:rsid w:val="0002019B"/>
    <w:rsid w:val="000307AD"/>
    <w:rsid w:val="00041238"/>
    <w:rsid w:val="00053910"/>
    <w:rsid w:val="00064D92"/>
    <w:rsid w:val="00071D19"/>
    <w:rsid w:val="0008399F"/>
    <w:rsid w:val="000A0FEF"/>
    <w:rsid w:val="000B148F"/>
    <w:rsid w:val="000B1D61"/>
    <w:rsid w:val="000C16A0"/>
    <w:rsid w:val="000D2A90"/>
    <w:rsid w:val="00111B82"/>
    <w:rsid w:val="001442B8"/>
    <w:rsid w:val="00156E68"/>
    <w:rsid w:val="001B6911"/>
    <w:rsid w:val="001C06DC"/>
    <w:rsid w:val="001C7E2A"/>
    <w:rsid w:val="001F15E2"/>
    <w:rsid w:val="001F361E"/>
    <w:rsid w:val="001F4E03"/>
    <w:rsid w:val="00205E1F"/>
    <w:rsid w:val="002372D3"/>
    <w:rsid w:val="00243160"/>
    <w:rsid w:val="00255C53"/>
    <w:rsid w:val="00276803"/>
    <w:rsid w:val="002A7635"/>
    <w:rsid w:val="002B5E54"/>
    <w:rsid w:val="002C1479"/>
    <w:rsid w:val="002C1AA1"/>
    <w:rsid w:val="002C6B1B"/>
    <w:rsid w:val="00301BD1"/>
    <w:rsid w:val="003035E5"/>
    <w:rsid w:val="003269CC"/>
    <w:rsid w:val="00330FE0"/>
    <w:rsid w:val="003526FF"/>
    <w:rsid w:val="003537C0"/>
    <w:rsid w:val="00391239"/>
    <w:rsid w:val="003A6F88"/>
    <w:rsid w:val="003B7246"/>
    <w:rsid w:val="003E0269"/>
    <w:rsid w:val="003E3272"/>
    <w:rsid w:val="003E5996"/>
    <w:rsid w:val="003E5F3F"/>
    <w:rsid w:val="0041144D"/>
    <w:rsid w:val="004150E8"/>
    <w:rsid w:val="004247C2"/>
    <w:rsid w:val="004255CA"/>
    <w:rsid w:val="004645D9"/>
    <w:rsid w:val="0046639B"/>
    <w:rsid w:val="0048132E"/>
    <w:rsid w:val="00481E98"/>
    <w:rsid w:val="00490089"/>
    <w:rsid w:val="004922C1"/>
    <w:rsid w:val="0049359E"/>
    <w:rsid w:val="004946E8"/>
    <w:rsid w:val="004A1956"/>
    <w:rsid w:val="004C2C4D"/>
    <w:rsid w:val="004D1B97"/>
    <w:rsid w:val="004E7C15"/>
    <w:rsid w:val="0050458C"/>
    <w:rsid w:val="0052465D"/>
    <w:rsid w:val="0052498F"/>
    <w:rsid w:val="005309CD"/>
    <w:rsid w:val="00537380"/>
    <w:rsid w:val="00564B2F"/>
    <w:rsid w:val="00583E62"/>
    <w:rsid w:val="005B5143"/>
    <w:rsid w:val="005B6D2B"/>
    <w:rsid w:val="005C77F7"/>
    <w:rsid w:val="005F2E95"/>
    <w:rsid w:val="006034C6"/>
    <w:rsid w:val="00623C4D"/>
    <w:rsid w:val="00641AFF"/>
    <w:rsid w:val="006664AA"/>
    <w:rsid w:val="0066789E"/>
    <w:rsid w:val="00667BDE"/>
    <w:rsid w:val="00681561"/>
    <w:rsid w:val="006C3BAE"/>
    <w:rsid w:val="006D21DA"/>
    <w:rsid w:val="007311A4"/>
    <w:rsid w:val="00746035"/>
    <w:rsid w:val="007574EA"/>
    <w:rsid w:val="007723C3"/>
    <w:rsid w:val="00777747"/>
    <w:rsid w:val="00781083"/>
    <w:rsid w:val="007C4649"/>
    <w:rsid w:val="007D6E06"/>
    <w:rsid w:val="007E5836"/>
    <w:rsid w:val="007F6C95"/>
    <w:rsid w:val="00801518"/>
    <w:rsid w:val="00825370"/>
    <w:rsid w:val="008517EE"/>
    <w:rsid w:val="00862E62"/>
    <w:rsid w:val="00864D76"/>
    <w:rsid w:val="008A1132"/>
    <w:rsid w:val="008E70F4"/>
    <w:rsid w:val="009050C2"/>
    <w:rsid w:val="00911E7C"/>
    <w:rsid w:val="00914817"/>
    <w:rsid w:val="00914C47"/>
    <w:rsid w:val="009229D4"/>
    <w:rsid w:val="009701C8"/>
    <w:rsid w:val="00976C3F"/>
    <w:rsid w:val="00985E0E"/>
    <w:rsid w:val="009A76A1"/>
    <w:rsid w:val="009B3AEB"/>
    <w:rsid w:val="009C2560"/>
    <w:rsid w:val="009D61A0"/>
    <w:rsid w:val="009D6887"/>
    <w:rsid w:val="00A01222"/>
    <w:rsid w:val="00A07CDC"/>
    <w:rsid w:val="00A23A51"/>
    <w:rsid w:val="00A2738C"/>
    <w:rsid w:val="00A41DD2"/>
    <w:rsid w:val="00A50376"/>
    <w:rsid w:val="00A75FF7"/>
    <w:rsid w:val="00A91149"/>
    <w:rsid w:val="00AA1444"/>
    <w:rsid w:val="00AE43B0"/>
    <w:rsid w:val="00AF08A8"/>
    <w:rsid w:val="00B10D23"/>
    <w:rsid w:val="00B131F5"/>
    <w:rsid w:val="00B14544"/>
    <w:rsid w:val="00B53183"/>
    <w:rsid w:val="00B54119"/>
    <w:rsid w:val="00B608A9"/>
    <w:rsid w:val="00B75B31"/>
    <w:rsid w:val="00B90023"/>
    <w:rsid w:val="00B91B16"/>
    <w:rsid w:val="00B96C4B"/>
    <w:rsid w:val="00BA3862"/>
    <w:rsid w:val="00BA48D9"/>
    <w:rsid w:val="00BC1E67"/>
    <w:rsid w:val="00BD4AF5"/>
    <w:rsid w:val="00C04433"/>
    <w:rsid w:val="00C0455F"/>
    <w:rsid w:val="00C219CD"/>
    <w:rsid w:val="00C4200E"/>
    <w:rsid w:val="00C427ED"/>
    <w:rsid w:val="00C71D69"/>
    <w:rsid w:val="00C8031D"/>
    <w:rsid w:val="00C97149"/>
    <w:rsid w:val="00CA1E49"/>
    <w:rsid w:val="00CC655A"/>
    <w:rsid w:val="00CE4994"/>
    <w:rsid w:val="00CF7BC2"/>
    <w:rsid w:val="00D24570"/>
    <w:rsid w:val="00D6594C"/>
    <w:rsid w:val="00D70EB9"/>
    <w:rsid w:val="00D911C0"/>
    <w:rsid w:val="00DC683C"/>
    <w:rsid w:val="00E01C2E"/>
    <w:rsid w:val="00E27900"/>
    <w:rsid w:val="00E33EB0"/>
    <w:rsid w:val="00E434FA"/>
    <w:rsid w:val="00E55EFB"/>
    <w:rsid w:val="00E66BDD"/>
    <w:rsid w:val="00EB36F4"/>
    <w:rsid w:val="00EC215A"/>
    <w:rsid w:val="00EC4542"/>
    <w:rsid w:val="00EC46E1"/>
    <w:rsid w:val="00EC5C20"/>
    <w:rsid w:val="00EC5EF0"/>
    <w:rsid w:val="00ED1C6D"/>
    <w:rsid w:val="00F37452"/>
    <w:rsid w:val="00F44249"/>
    <w:rsid w:val="00F61F52"/>
    <w:rsid w:val="00FA1404"/>
    <w:rsid w:val="00FA6DF1"/>
    <w:rsid w:val="00FB4826"/>
    <w:rsid w:val="00FC1FDE"/>
    <w:rsid w:val="00FF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72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5D"/>
    <w:pPr>
      <w:ind w:left="720"/>
      <w:contextualSpacing/>
    </w:pPr>
  </w:style>
  <w:style w:type="table" w:styleId="TableGrid">
    <w:name w:val="Table Grid"/>
    <w:basedOn w:val="TableNormal"/>
    <w:uiPriority w:val="59"/>
    <w:rsid w:val="00B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7C1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E7C15"/>
    <w:rPr>
      <w:color w:val="0000FF"/>
      <w:u w:val="single"/>
    </w:rPr>
  </w:style>
  <w:style w:type="paragraph" w:styleId="BalloonText">
    <w:name w:val="Balloon Text"/>
    <w:basedOn w:val="Normal"/>
    <w:link w:val="BalloonTextChar"/>
    <w:uiPriority w:val="99"/>
    <w:semiHidden/>
    <w:unhideWhenUsed/>
    <w:rsid w:val="0046639B"/>
    <w:rPr>
      <w:rFonts w:ascii="Tahoma" w:hAnsi="Tahoma" w:cs="Tahoma"/>
      <w:sz w:val="16"/>
      <w:szCs w:val="16"/>
    </w:rPr>
  </w:style>
  <w:style w:type="character" w:customStyle="1" w:styleId="BalloonTextChar">
    <w:name w:val="Balloon Text Char"/>
    <w:basedOn w:val="DefaultParagraphFont"/>
    <w:link w:val="BalloonText"/>
    <w:uiPriority w:val="99"/>
    <w:semiHidden/>
    <w:rsid w:val="0046639B"/>
    <w:rPr>
      <w:rFonts w:ascii="Tahoma" w:hAnsi="Tahoma" w:cs="Tahoma"/>
      <w:sz w:val="16"/>
      <w:szCs w:val="16"/>
    </w:rPr>
  </w:style>
  <w:style w:type="paragraph" w:customStyle="1" w:styleId="Default">
    <w:name w:val="Default"/>
    <w:rsid w:val="00A50376"/>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5D"/>
    <w:pPr>
      <w:ind w:left="720"/>
      <w:contextualSpacing/>
    </w:pPr>
  </w:style>
  <w:style w:type="table" w:styleId="TableGrid">
    <w:name w:val="Table Grid"/>
    <w:basedOn w:val="TableNormal"/>
    <w:uiPriority w:val="59"/>
    <w:rsid w:val="00B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7C1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E7C15"/>
    <w:rPr>
      <w:color w:val="0000FF"/>
      <w:u w:val="single"/>
    </w:rPr>
  </w:style>
  <w:style w:type="paragraph" w:styleId="BalloonText">
    <w:name w:val="Balloon Text"/>
    <w:basedOn w:val="Normal"/>
    <w:link w:val="BalloonTextChar"/>
    <w:uiPriority w:val="99"/>
    <w:semiHidden/>
    <w:unhideWhenUsed/>
    <w:rsid w:val="0046639B"/>
    <w:rPr>
      <w:rFonts w:ascii="Tahoma" w:hAnsi="Tahoma" w:cs="Tahoma"/>
      <w:sz w:val="16"/>
      <w:szCs w:val="16"/>
    </w:rPr>
  </w:style>
  <w:style w:type="character" w:customStyle="1" w:styleId="BalloonTextChar">
    <w:name w:val="Balloon Text Char"/>
    <w:basedOn w:val="DefaultParagraphFont"/>
    <w:link w:val="BalloonText"/>
    <w:uiPriority w:val="99"/>
    <w:semiHidden/>
    <w:rsid w:val="0046639B"/>
    <w:rPr>
      <w:rFonts w:ascii="Tahoma" w:hAnsi="Tahoma" w:cs="Tahoma"/>
      <w:sz w:val="16"/>
      <w:szCs w:val="16"/>
    </w:rPr>
  </w:style>
  <w:style w:type="paragraph" w:customStyle="1" w:styleId="Default">
    <w:name w:val="Default"/>
    <w:rsid w:val="00A5037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12593">
      <w:bodyDiv w:val="1"/>
      <w:marLeft w:val="0"/>
      <w:marRight w:val="0"/>
      <w:marTop w:val="0"/>
      <w:marBottom w:val="0"/>
      <w:divBdr>
        <w:top w:val="none" w:sz="0" w:space="0" w:color="auto"/>
        <w:left w:val="none" w:sz="0" w:space="0" w:color="auto"/>
        <w:bottom w:val="none" w:sz="0" w:space="0" w:color="auto"/>
        <w:right w:val="none" w:sz="0" w:space="0" w:color="auto"/>
      </w:divBdr>
    </w:div>
    <w:div w:id="1691645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dmiramar.edu/evidence/San%20Diego%20Miramar%20College%20SER%20Onli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miramar.edu/webfm_send/161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 Diego Miramar College</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North</dc:creator>
  <cp:lastModifiedBy>work</cp:lastModifiedBy>
  <cp:revision>4</cp:revision>
  <cp:lastPrinted>2018-10-09T21:29:00Z</cp:lastPrinted>
  <dcterms:created xsi:type="dcterms:W3CDTF">2019-02-07T21:11:00Z</dcterms:created>
  <dcterms:modified xsi:type="dcterms:W3CDTF">2019-02-07T22:02:00Z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492691502</vt:i4>
  </property>
  <property fmtid="{D5CDD505-2E9C-101B-9397-08002B2CF9AE}" pid="3" name="_NewReviewCycle">
    <vt:lpwstr/>
  </property>
  <property fmtid="{D5CDD505-2E9C-101B-9397-08002B2CF9AE}" pid="4" name="_EmailSubject">
    <vt:lpwstr>Items for CGC 2/12/19</vt:lpwstr>
  </property>
  <property fmtid="{D5CDD505-2E9C-101B-9397-08002B2CF9AE}" pid="5" name="_AuthorEmail">
    <vt:lpwstr>lmurphy@sdccd.edu</vt:lpwstr>
  </property>
  <property fmtid="{D5CDD505-2E9C-101B-9397-08002B2CF9AE}" pid="6" name="_AuthorEmailDisplayName">
    <vt:lpwstr>Laura Murphy</vt:lpwstr>
  </property>
  <property fmtid="{D5CDD505-2E9C-101B-9397-08002B2CF9AE}" pid="8" name="_PreviousAdHocReviewCycleID">
    <vt:i4>977679611</vt:i4>
  </property>
</Properties>
</file>